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63"/>
      </w:tblGrid>
      <w:tr w:rsidR="00990D4D" w:rsidRPr="00990D4D" w:rsidTr="00990D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0D4D" w:rsidRPr="00990D4D" w:rsidRDefault="00990D4D" w:rsidP="00990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990D4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Ciprofloxacine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 w:rsidRPr="00990D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PHARMACOCINÉTIQUE</w:t>
            </w:r>
            <w:r w:rsidRPr="00990D4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</w:tbl>
    <w:p w:rsidR="00990D4D" w:rsidRPr="00990D4D" w:rsidRDefault="00990D4D" w:rsidP="00990D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90D4D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Absorption : </w:t>
      </w:r>
    </w:p>
    <w:p w:rsidR="00990D4D" w:rsidRPr="00990D4D" w:rsidRDefault="00990D4D" w:rsidP="00990D4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90D4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Suite à une perfusion intraveineuse de </w:t>
      </w:r>
      <w:proofErr w:type="spellStart"/>
      <w:r w:rsidRPr="00990D4D">
        <w:rPr>
          <w:rFonts w:ascii="Times New Roman" w:eastAsia="Times New Roman" w:hAnsi="Times New Roman" w:cs="Times New Roman"/>
          <w:sz w:val="24"/>
          <w:szCs w:val="24"/>
          <w:lang w:eastAsia="fr-FR"/>
        </w:rPr>
        <w:t>ciprofloxacine</w:t>
      </w:r>
      <w:proofErr w:type="spellEnd"/>
      <w:r w:rsidRPr="00990D4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la concentration sérique maximale moyenne est atteinte à la fin de la perfusion. La pharmacocinétique de la </w:t>
      </w:r>
      <w:proofErr w:type="spellStart"/>
      <w:r w:rsidRPr="00990D4D">
        <w:rPr>
          <w:rFonts w:ascii="Times New Roman" w:eastAsia="Times New Roman" w:hAnsi="Times New Roman" w:cs="Times New Roman"/>
          <w:sz w:val="24"/>
          <w:szCs w:val="24"/>
          <w:lang w:eastAsia="fr-FR"/>
        </w:rPr>
        <w:t>ciprofloxacine</w:t>
      </w:r>
      <w:proofErr w:type="spellEnd"/>
      <w:r w:rsidRPr="00990D4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est linéaire jusqu'à une dose de 400 mg administrée par voie intraveineuse.</w:t>
      </w:r>
    </w:p>
    <w:p w:rsidR="00990D4D" w:rsidRPr="00990D4D" w:rsidRDefault="00990D4D" w:rsidP="00990D4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90D4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La comparaison des paramètres pharmacocinétiques, résultant d'un traitement intraveineux administré en deux fois par jour et trois fois par jour, n'a fait apparaître aucun signe d'accumulation de la </w:t>
      </w:r>
      <w:proofErr w:type="spellStart"/>
      <w:r w:rsidRPr="00990D4D">
        <w:rPr>
          <w:rFonts w:ascii="Times New Roman" w:eastAsia="Times New Roman" w:hAnsi="Times New Roman" w:cs="Times New Roman"/>
          <w:sz w:val="24"/>
          <w:szCs w:val="24"/>
          <w:lang w:eastAsia="fr-FR"/>
        </w:rPr>
        <w:t>ciprofloxacine</w:t>
      </w:r>
      <w:proofErr w:type="spellEnd"/>
      <w:r w:rsidRPr="00990D4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de ses métabolites.</w:t>
      </w:r>
    </w:p>
    <w:p w:rsidR="00990D4D" w:rsidRPr="00990D4D" w:rsidRDefault="00990D4D" w:rsidP="00990D4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90D4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Une injection de 200 mg de </w:t>
      </w:r>
      <w:proofErr w:type="spellStart"/>
      <w:r w:rsidRPr="00990D4D">
        <w:rPr>
          <w:rFonts w:ascii="Times New Roman" w:eastAsia="Times New Roman" w:hAnsi="Times New Roman" w:cs="Times New Roman"/>
          <w:sz w:val="24"/>
          <w:szCs w:val="24"/>
          <w:lang w:eastAsia="fr-FR"/>
        </w:rPr>
        <w:t>ciprofloxacine</w:t>
      </w:r>
      <w:proofErr w:type="spellEnd"/>
      <w:r w:rsidRPr="00990D4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en perfusion intraveineuse sur 60 minutes toutes les 12 heures ou une prise de 250 mg de </w:t>
      </w:r>
      <w:proofErr w:type="spellStart"/>
      <w:r w:rsidRPr="00990D4D">
        <w:rPr>
          <w:rFonts w:ascii="Times New Roman" w:eastAsia="Times New Roman" w:hAnsi="Times New Roman" w:cs="Times New Roman"/>
          <w:sz w:val="24"/>
          <w:szCs w:val="24"/>
          <w:lang w:eastAsia="fr-FR"/>
        </w:rPr>
        <w:t>ciprofloxacine</w:t>
      </w:r>
      <w:proofErr w:type="spellEnd"/>
      <w:r w:rsidRPr="00990D4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par voie orale toutes les 12 heures, permettent d'obtenir une aire sous la courbe (AUC) de la concentration sérique en fonction du temps équivalente.</w:t>
      </w:r>
    </w:p>
    <w:p w:rsidR="00990D4D" w:rsidRPr="00990D4D" w:rsidRDefault="00990D4D" w:rsidP="00990D4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90D4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Une perfusion intraveineuse sur 60 minutes de 400 mg de </w:t>
      </w:r>
      <w:proofErr w:type="spellStart"/>
      <w:r w:rsidRPr="00990D4D">
        <w:rPr>
          <w:rFonts w:ascii="Times New Roman" w:eastAsia="Times New Roman" w:hAnsi="Times New Roman" w:cs="Times New Roman"/>
          <w:sz w:val="24"/>
          <w:szCs w:val="24"/>
          <w:lang w:eastAsia="fr-FR"/>
        </w:rPr>
        <w:t>ciprofloxacine</w:t>
      </w:r>
      <w:proofErr w:type="spellEnd"/>
      <w:r w:rsidRPr="00990D4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toutes les 12 heures et une dose orale de 500 mg toutes les 12 heures sont </w:t>
      </w:r>
      <w:proofErr w:type="spellStart"/>
      <w:r w:rsidRPr="00990D4D">
        <w:rPr>
          <w:rFonts w:ascii="Times New Roman" w:eastAsia="Times New Roman" w:hAnsi="Times New Roman" w:cs="Times New Roman"/>
          <w:sz w:val="24"/>
          <w:szCs w:val="24"/>
          <w:lang w:eastAsia="fr-FR"/>
        </w:rPr>
        <w:t>bioéquivalentes</w:t>
      </w:r>
      <w:proofErr w:type="spellEnd"/>
      <w:r w:rsidRPr="00990D4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en termes d'AUC.</w:t>
      </w:r>
    </w:p>
    <w:p w:rsidR="00990D4D" w:rsidRPr="00990D4D" w:rsidRDefault="00990D4D" w:rsidP="00990D4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90D4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La </w:t>
      </w:r>
      <w:proofErr w:type="spellStart"/>
      <w:r w:rsidRPr="00990D4D">
        <w:rPr>
          <w:rFonts w:ascii="Times New Roman" w:eastAsia="Times New Roman" w:hAnsi="Times New Roman" w:cs="Times New Roman"/>
          <w:sz w:val="24"/>
          <w:szCs w:val="24"/>
          <w:lang w:eastAsia="fr-FR"/>
        </w:rPr>
        <w:t>Cmax</w:t>
      </w:r>
      <w:proofErr w:type="spellEnd"/>
      <w:r w:rsidRPr="00990D4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obtenue avec 400 mg administrés en perfusion intraveineuse sur 60 minutes toutes les 12 heures a été similaire à celle observée pour une dose orale de 750 mg.</w:t>
      </w:r>
    </w:p>
    <w:p w:rsidR="00990D4D" w:rsidRPr="00990D4D" w:rsidRDefault="00990D4D" w:rsidP="00990D4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90D4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Une perfusion sur 60 minutes de 400 mg de </w:t>
      </w:r>
      <w:proofErr w:type="spellStart"/>
      <w:r w:rsidRPr="00990D4D">
        <w:rPr>
          <w:rFonts w:ascii="Times New Roman" w:eastAsia="Times New Roman" w:hAnsi="Times New Roman" w:cs="Times New Roman"/>
          <w:sz w:val="24"/>
          <w:szCs w:val="24"/>
          <w:lang w:eastAsia="fr-FR"/>
        </w:rPr>
        <w:t>ciprofloxacine</w:t>
      </w:r>
      <w:proofErr w:type="spellEnd"/>
      <w:r w:rsidRPr="00990D4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toutes les 8 heures et une dose orale de 750 mg toutes les 12 heures sont équivalentes en termes d'AUC.</w:t>
      </w:r>
    </w:p>
    <w:p w:rsidR="00990D4D" w:rsidRPr="00990D4D" w:rsidRDefault="00990D4D" w:rsidP="00990D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90D4D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Distribution : </w:t>
      </w:r>
    </w:p>
    <w:p w:rsidR="00990D4D" w:rsidRPr="00990D4D" w:rsidRDefault="00990D4D" w:rsidP="00990D4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90D4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La liaison aux protéines de la </w:t>
      </w:r>
      <w:proofErr w:type="spellStart"/>
      <w:r w:rsidRPr="00990D4D">
        <w:rPr>
          <w:rFonts w:ascii="Times New Roman" w:eastAsia="Times New Roman" w:hAnsi="Times New Roman" w:cs="Times New Roman"/>
          <w:sz w:val="24"/>
          <w:szCs w:val="24"/>
          <w:lang w:eastAsia="fr-FR"/>
        </w:rPr>
        <w:t>ciprofloxacine</w:t>
      </w:r>
      <w:proofErr w:type="spellEnd"/>
      <w:r w:rsidRPr="00990D4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est faible (20-30 %) et la </w:t>
      </w:r>
      <w:proofErr w:type="spellStart"/>
      <w:r w:rsidRPr="00990D4D">
        <w:rPr>
          <w:rFonts w:ascii="Times New Roman" w:eastAsia="Times New Roman" w:hAnsi="Times New Roman" w:cs="Times New Roman"/>
          <w:sz w:val="24"/>
          <w:szCs w:val="24"/>
          <w:lang w:eastAsia="fr-FR"/>
        </w:rPr>
        <w:t>ciprofloxacine</w:t>
      </w:r>
      <w:proofErr w:type="spellEnd"/>
      <w:r w:rsidRPr="00990D4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est largement présente dans le plasma sous forme non ionisée. Le volume de distribution à l'équilibre est important, de l'ordre de 2-3 l/kg de masse corporelle.</w:t>
      </w:r>
    </w:p>
    <w:p w:rsidR="00990D4D" w:rsidRPr="00990D4D" w:rsidRDefault="00990D4D" w:rsidP="00990D4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90D4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Les concentrations de la </w:t>
      </w:r>
      <w:proofErr w:type="spellStart"/>
      <w:r w:rsidRPr="00990D4D">
        <w:rPr>
          <w:rFonts w:ascii="Times New Roman" w:eastAsia="Times New Roman" w:hAnsi="Times New Roman" w:cs="Times New Roman"/>
          <w:sz w:val="24"/>
          <w:szCs w:val="24"/>
          <w:lang w:eastAsia="fr-FR"/>
        </w:rPr>
        <w:t>ciprofloxacine</w:t>
      </w:r>
      <w:proofErr w:type="spellEnd"/>
      <w:r w:rsidRPr="00990D4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sont élevées dans de nombreux tissus, comme les poumons (liquide épithélial, macrophages alvéolaires, tissu de biopsie), les sinus, les lésions inflammatoires (liquide vésiculaire à base de cantharidine) et l'appareil urogénital (urine, prostate, endomètre) où les concentrations totales dépassent celles atteintes dans le plasma.</w:t>
      </w:r>
    </w:p>
    <w:p w:rsidR="00990D4D" w:rsidRPr="00990D4D" w:rsidRDefault="00990D4D" w:rsidP="00990D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90D4D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Métabolisme : </w:t>
      </w:r>
    </w:p>
    <w:p w:rsidR="00990D4D" w:rsidRPr="00990D4D" w:rsidRDefault="00990D4D" w:rsidP="00990D4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90D4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Quatre métabolites ont été détectés à de faibles concentrations, à savoir : </w:t>
      </w:r>
      <w:proofErr w:type="spellStart"/>
      <w:r w:rsidRPr="00990D4D">
        <w:rPr>
          <w:rFonts w:ascii="Times New Roman" w:eastAsia="Times New Roman" w:hAnsi="Times New Roman" w:cs="Times New Roman"/>
          <w:sz w:val="24"/>
          <w:szCs w:val="24"/>
          <w:lang w:eastAsia="fr-FR"/>
        </w:rPr>
        <w:t>deséthylèneciprofloxacine</w:t>
      </w:r>
      <w:proofErr w:type="spellEnd"/>
      <w:r w:rsidRPr="00990D4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(M1), </w:t>
      </w:r>
      <w:proofErr w:type="spellStart"/>
      <w:r w:rsidRPr="00990D4D">
        <w:rPr>
          <w:rFonts w:ascii="Times New Roman" w:eastAsia="Times New Roman" w:hAnsi="Times New Roman" w:cs="Times New Roman"/>
          <w:sz w:val="24"/>
          <w:szCs w:val="24"/>
          <w:lang w:eastAsia="fr-FR"/>
        </w:rPr>
        <w:t>sulfociprofloxacine</w:t>
      </w:r>
      <w:proofErr w:type="spellEnd"/>
      <w:r w:rsidRPr="00990D4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(M2), </w:t>
      </w:r>
      <w:proofErr w:type="spellStart"/>
      <w:r w:rsidRPr="00990D4D">
        <w:rPr>
          <w:rFonts w:ascii="Times New Roman" w:eastAsia="Times New Roman" w:hAnsi="Times New Roman" w:cs="Times New Roman"/>
          <w:sz w:val="24"/>
          <w:szCs w:val="24"/>
          <w:lang w:eastAsia="fr-FR"/>
        </w:rPr>
        <w:t>oxociprofloxacine</w:t>
      </w:r>
      <w:proofErr w:type="spellEnd"/>
      <w:r w:rsidRPr="00990D4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(M3) et </w:t>
      </w:r>
      <w:proofErr w:type="spellStart"/>
      <w:r w:rsidRPr="00990D4D">
        <w:rPr>
          <w:rFonts w:ascii="Times New Roman" w:eastAsia="Times New Roman" w:hAnsi="Times New Roman" w:cs="Times New Roman"/>
          <w:sz w:val="24"/>
          <w:szCs w:val="24"/>
          <w:lang w:eastAsia="fr-FR"/>
        </w:rPr>
        <w:t>formylciprofloxacine</w:t>
      </w:r>
      <w:proofErr w:type="spellEnd"/>
      <w:r w:rsidRPr="00990D4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(M4). Les métabolites présentent une activité antimicrobienne in vitro mais moindre que celle observée avec la molécule mère.</w:t>
      </w:r>
    </w:p>
    <w:p w:rsidR="00990D4D" w:rsidRPr="00990D4D" w:rsidRDefault="00990D4D" w:rsidP="00990D4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90D4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La </w:t>
      </w:r>
      <w:proofErr w:type="spellStart"/>
      <w:r w:rsidRPr="00990D4D">
        <w:rPr>
          <w:rFonts w:ascii="Times New Roman" w:eastAsia="Times New Roman" w:hAnsi="Times New Roman" w:cs="Times New Roman"/>
          <w:sz w:val="24"/>
          <w:szCs w:val="24"/>
          <w:lang w:eastAsia="fr-FR"/>
        </w:rPr>
        <w:t>ciprofloxacine</w:t>
      </w:r>
      <w:proofErr w:type="spellEnd"/>
      <w:r w:rsidRPr="00990D4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est un inhibiteur modéré des iso-enzymes 1A2 du CYP</w:t>
      </w:r>
      <w:r w:rsidRPr="00990D4D">
        <w:rPr>
          <w:rFonts w:ascii="Times New Roman" w:eastAsia="Times New Roman" w:hAnsi="Times New Roman" w:cs="Times New Roman"/>
          <w:sz w:val="20"/>
          <w:szCs w:val="20"/>
          <w:lang w:eastAsia="fr-FR"/>
        </w:rPr>
        <w:t>450</w:t>
      </w:r>
      <w:r w:rsidRPr="00990D4D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990D4D" w:rsidRPr="00990D4D" w:rsidRDefault="00990D4D" w:rsidP="00990D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90D4D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Élimination : </w:t>
      </w:r>
    </w:p>
    <w:p w:rsidR="00990D4D" w:rsidRPr="00990D4D" w:rsidRDefault="00990D4D" w:rsidP="00990D4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90D4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La </w:t>
      </w:r>
      <w:proofErr w:type="spellStart"/>
      <w:r w:rsidRPr="00990D4D">
        <w:rPr>
          <w:rFonts w:ascii="Times New Roman" w:eastAsia="Times New Roman" w:hAnsi="Times New Roman" w:cs="Times New Roman"/>
          <w:sz w:val="24"/>
          <w:szCs w:val="24"/>
          <w:lang w:eastAsia="fr-FR"/>
        </w:rPr>
        <w:t>ciprofloxacine</w:t>
      </w:r>
      <w:proofErr w:type="spellEnd"/>
      <w:r w:rsidRPr="00990D4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est excrétée principalement sous forme inchangée par voie rénale et, à un moindre degré, par voie fécale.</w:t>
      </w:r>
    </w:p>
    <w:tbl>
      <w:tblPr>
        <w:tblStyle w:val="Grilledutableau"/>
        <w:tblW w:w="4750" w:type="pct"/>
        <w:tblLook w:val="04A0"/>
      </w:tblPr>
      <w:tblGrid>
        <w:gridCol w:w="3674"/>
        <w:gridCol w:w="2575"/>
        <w:gridCol w:w="2575"/>
      </w:tblGrid>
      <w:tr w:rsidR="00990D4D" w:rsidRPr="00990D4D" w:rsidTr="00990D4D">
        <w:tc>
          <w:tcPr>
            <w:tcW w:w="0" w:type="auto"/>
            <w:gridSpan w:val="3"/>
            <w:hideMark/>
          </w:tcPr>
          <w:p w:rsidR="00990D4D" w:rsidRPr="00990D4D" w:rsidRDefault="00990D4D" w:rsidP="00990D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90D4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Excrétion de la </w:t>
            </w:r>
            <w:proofErr w:type="spellStart"/>
            <w:r w:rsidRPr="00990D4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ciprofloxacine</w:t>
            </w:r>
            <w:proofErr w:type="spellEnd"/>
            <w:r w:rsidRPr="00990D4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(% de la dose)</w:t>
            </w:r>
          </w:p>
        </w:tc>
      </w:tr>
      <w:tr w:rsidR="00990D4D" w:rsidRPr="00990D4D" w:rsidTr="00990D4D">
        <w:tc>
          <w:tcPr>
            <w:tcW w:w="0" w:type="auto"/>
            <w:vMerge w:val="restart"/>
            <w:hideMark/>
          </w:tcPr>
          <w:p w:rsidR="00990D4D" w:rsidRPr="00990D4D" w:rsidRDefault="00990D4D" w:rsidP="00990D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90D4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990D4D" w:rsidRPr="00990D4D" w:rsidRDefault="00990D4D" w:rsidP="00990D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90D4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Administration par voie intraveineuse</w:t>
            </w:r>
          </w:p>
        </w:tc>
      </w:tr>
      <w:tr w:rsidR="00990D4D" w:rsidRPr="00990D4D" w:rsidTr="00990D4D">
        <w:tc>
          <w:tcPr>
            <w:tcW w:w="0" w:type="auto"/>
            <w:vMerge/>
            <w:hideMark/>
          </w:tcPr>
          <w:p w:rsidR="00990D4D" w:rsidRPr="00990D4D" w:rsidRDefault="00990D4D" w:rsidP="00990D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hideMark/>
          </w:tcPr>
          <w:p w:rsidR="00990D4D" w:rsidRPr="00990D4D" w:rsidRDefault="00990D4D" w:rsidP="00990D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90D4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Urine</w:t>
            </w:r>
          </w:p>
        </w:tc>
        <w:tc>
          <w:tcPr>
            <w:tcW w:w="0" w:type="auto"/>
            <w:hideMark/>
          </w:tcPr>
          <w:p w:rsidR="00990D4D" w:rsidRPr="00990D4D" w:rsidRDefault="00990D4D" w:rsidP="00990D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90D4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Fèces</w:t>
            </w:r>
          </w:p>
        </w:tc>
      </w:tr>
      <w:tr w:rsidR="00990D4D" w:rsidRPr="00990D4D" w:rsidTr="00990D4D">
        <w:tc>
          <w:tcPr>
            <w:tcW w:w="0" w:type="auto"/>
            <w:hideMark/>
          </w:tcPr>
          <w:p w:rsidR="00990D4D" w:rsidRPr="00990D4D" w:rsidRDefault="00990D4D" w:rsidP="00990D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990D4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Ciprofloxacine</w:t>
            </w:r>
            <w:proofErr w:type="spellEnd"/>
          </w:p>
        </w:tc>
        <w:tc>
          <w:tcPr>
            <w:tcW w:w="0" w:type="auto"/>
            <w:hideMark/>
          </w:tcPr>
          <w:p w:rsidR="00990D4D" w:rsidRPr="00990D4D" w:rsidRDefault="00990D4D" w:rsidP="00990D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90D4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61,5</w:t>
            </w:r>
          </w:p>
        </w:tc>
        <w:tc>
          <w:tcPr>
            <w:tcW w:w="0" w:type="auto"/>
            <w:hideMark/>
          </w:tcPr>
          <w:p w:rsidR="00990D4D" w:rsidRPr="00990D4D" w:rsidRDefault="00990D4D" w:rsidP="00990D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90D4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15,2</w:t>
            </w:r>
          </w:p>
        </w:tc>
      </w:tr>
      <w:tr w:rsidR="00990D4D" w:rsidRPr="00990D4D" w:rsidTr="00990D4D">
        <w:tc>
          <w:tcPr>
            <w:tcW w:w="0" w:type="auto"/>
            <w:hideMark/>
          </w:tcPr>
          <w:p w:rsidR="00990D4D" w:rsidRPr="00990D4D" w:rsidRDefault="00990D4D" w:rsidP="00990D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90D4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Métabolites (M1-M4)</w:t>
            </w:r>
          </w:p>
        </w:tc>
        <w:tc>
          <w:tcPr>
            <w:tcW w:w="0" w:type="auto"/>
            <w:hideMark/>
          </w:tcPr>
          <w:p w:rsidR="00990D4D" w:rsidRPr="00990D4D" w:rsidRDefault="00990D4D" w:rsidP="00990D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90D4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9,5</w:t>
            </w:r>
          </w:p>
        </w:tc>
        <w:tc>
          <w:tcPr>
            <w:tcW w:w="0" w:type="auto"/>
            <w:hideMark/>
          </w:tcPr>
          <w:p w:rsidR="00990D4D" w:rsidRPr="00990D4D" w:rsidRDefault="00990D4D" w:rsidP="00990D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90D4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2,6</w:t>
            </w:r>
          </w:p>
        </w:tc>
      </w:tr>
    </w:tbl>
    <w:p w:rsidR="00990D4D" w:rsidRPr="00990D4D" w:rsidRDefault="00990D4D" w:rsidP="00990D4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90D4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La clairance rénale est comprise entre 180 et 300 ml/kg/h et la clairance totale entre 480 et 600 ml/kg/h. La </w:t>
      </w:r>
      <w:proofErr w:type="spellStart"/>
      <w:r w:rsidRPr="00990D4D">
        <w:rPr>
          <w:rFonts w:ascii="Times New Roman" w:eastAsia="Times New Roman" w:hAnsi="Times New Roman" w:cs="Times New Roman"/>
          <w:sz w:val="24"/>
          <w:szCs w:val="24"/>
          <w:lang w:eastAsia="fr-FR"/>
        </w:rPr>
        <w:t>ciprofloxacine</w:t>
      </w:r>
      <w:proofErr w:type="spellEnd"/>
      <w:r w:rsidRPr="00990D4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est éliminée par filtration glomérulaire et sécrétion tubulaire. En cas d'insuffisance rénale sévère, la demi-vie de la </w:t>
      </w:r>
      <w:proofErr w:type="spellStart"/>
      <w:r w:rsidRPr="00990D4D">
        <w:rPr>
          <w:rFonts w:ascii="Times New Roman" w:eastAsia="Times New Roman" w:hAnsi="Times New Roman" w:cs="Times New Roman"/>
          <w:sz w:val="24"/>
          <w:szCs w:val="24"/>
          <w:lang w:eastAsia="fr-FR"/>
        </w:rPr>
        <w:t>ciprofloxacine</w:t>
      </w:r>
      <w:proofErr w:type="spellEnd"/>
      <w:r w:rsidRPr="00990D4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est augmentée jusqu'à 12 h.</w:t>
      </w:r>
    </w:p>
    <w:p w:rsidR="00990D4D" w:rsidRPr="00990D4D" w:rsidRDefault="00990D4D" w:rsidP="00990D4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90D4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La clairance non rénale de la </w:t>
      </w:r>
      <w:proofErr w:type="spellStart"/>
      <w:r w:rsidRPr="00990D4D">
        <w:rPr>
          <w:rFonts w:ascii="Times New Roman" w:eastAsia="Times New Roman" w:hAnsi="Times New Roman" w:cs="Times New Roman"/>
          <w:sz w:val="24"/>
          <w:szCs w:val="24"/>
          <w:lang w:eastAsia="fr-FR"/>
        </w:rPr>
        <w:t>ciprofloxacine</w:t>
      </w:r>
      <w:proofErr w:type="spellEnd"/>
      <w:r w:rsidRPr="00990D4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est principalement due à une sécrétion intestinale et au métabolisme. 1 % de la dose est excrétée par voie biliaire. Les concentrations de </w:t>
      </w:r>
      <w:proofErr w:type="spellStart"/>
      <w:r w:rsidRPr="00990D4D">
        <w:rPr>
          <w:rFonts w:ascii="Times New Roman" w:eastAsia="Times New Roman" w:hAnsi="Times New Roman" w:cs="Times New Roman"/>
          <w:sz w:val="24"/>
          <w:szCs w:val="24"/>
          <w:lang w:eastAsia="fr-FR"/>
        </w:rPr>
        <w:t>ciprofloxacine</w:t>
      </w:r>
      <w:proofErr w:type="spellEnd"/>
      <w:r w:rsidRPr="00990D4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dans la bile sont élevées.</w:t>
      </w:r>
    </w:p>
    <w:p w:rsidR="00990D4D" w:rsidRPr="00990D4D" w:rsidRDefault="00990D4D" w:rsidP="00990D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90D4D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lastRenderedPageBreak/>
        <w:t xml:space="preserve">Chez l'enfant : </w:t>
      </w:r>
    </w:p>
    <w:p w:rsidR="00990D4D" w:rsidRPr="00990D4D" w:rsidRDefault="00990D4D" w:rsidP="00990D4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90D4D">
        <w:rPr>
          <w:rFonts w:ascii="Times New Roman" w:eastAsia="Times New Roman" w:hAnsi="Times New Roman" w:cs="Times New Roman"/>
          <w:sz w:val="24"/>
          <w:szCs w:val="24"/>
          <w:lang w:eastAsia="fr-FR"/>
        </w:rPr>
        <w:t>Les données pharmacocinétiques chez l'enfant sont limitées.</w:t>
      </w:r>
    </w:p>
    <w:p w:rsidR="00990D4D" w:rsidRPr="00990D4D" w:rsidRDefault="00990D4D" w:rsidP="00990D4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90D4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Une étude menée chez l'enfant a montré que la </w:t>
      </w:r>
      <w:proofErr w:type="spellStart"/>
      <w:r w:rsidRPr="00990D4D">
        <w:rPr>
          <w:rFonts w:ascii="Times New Roman" w:eastAsia="Times New Roman" w:hAnsi="Times New Roman" w:cs="Times New Roman"/>
          <w:sz w:val="24"/>
          <w:szCs w:val="24"/>
          <w:lang w:eastAsia="fr-FR"/>
        </w:rPr>
        <w:t>Cmax</w:t>
      </w:r>
      <w:proofErr w:type="spellEnd"/>
      <w:r w:rsidRPr="00990D4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l'AUC étaient indépendantes de l'âge (au-delà de l'âge de 1 an). Aucune augmentation significative de la </w:t>
      </w:r>
      <w:proofErr w:type="spellStart"/>
      <w:r w:rsidRPr="00990D4D">
        <w:rPr>
          <w:rFonts w:ascii="Times New Roman" w:eastAsia="Times New Roman" w:hAnsi="Times New Roman" w:cs="Times New Roman"/>
          <w:sz w:val="24"/>
          <w:szCs w:val="24"/>
          <w:lang w:eastAsia="fr-FR"/>
        </w:rPr>
        <w:t>Cmax</w:t>
      </w:r>
      <w:proofErr w:type="spellEnd"/>
      <w:r w:rsidRPr="00990D4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de l'AUC n'a été observée après administrations répétées (10 mg/kg trois fois par jour).</w:t>
      </w:r>
    </w:p>
    <w:p w:rsidR="00990D4D" w:rsidRPr="00990D4D" w:rsidRDefault="00990D4D" w:rsidP="00990D4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90D4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Chez 10 enfants atteints de septicémie sévère et âgés de moins de 1 an, la </w:t>
      </w:r>
      <w:proofErr w:type="spellStart"/>
      <w:r w:rsidRPr="00990D4D">
        <w:rPr>
          <w:rFonts w:ascii="Times New Roman" w:eastAsia="Times New Roman" w:hAnsi="Times New Roman" w:cs="Times New Roman"/>
          <w:sz w:val="24"/>
          <w:szCs w:val="24"/>
          <w:lang w:eastAsia="fr-FR"/>
        </w:rPr>
        <w:t>Cmax</w:t>
      </w:r>
      <w:proofErr w:type="spellEnd"/>
      <w:r w:rsidRPr="00990D4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 été de 6,1 mg/l (intervalle : 4,6-8,3 mg/l) suite à une perfusion intraveineuse de 1 h à la dose de 10 mg/kg ; elle a été de 7,2 mg/l (intervalle : 4,7-11,8 mg/l) chez les enfants âgés de 1 à 5 ans. Les valeurs de l'AUC ont été respectivement de 17,4 mg x h/l (intervalle : 11,8-32,0 mg x h/l) et de 16,5 mg x h/l (intervalle : 11,0-23,8 mg x h/l) dans ces mêmes groupes d'âge.</w:t>
      </w:r>
    </w:p>
    <w:p w:rsidR="00990D4D" w:rsidRPr="00990D4D" w:rsidRDefault="00990D4D" w:rsidP="00990D4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90D4D">
        <w:rPr>
          <w:rFonts w:ascii="Times New Roman" w:eastAsia="Times New Roman" w:hAnsi="Times New Roman" w:cs="Times New Roman"/>
          <w:sz w:val="24"/>
          <w:szCs w:val="24"/>
          <w:lang w:eastAsia="fr-FR"/>
        </w:rPr>
        <w:t>Ces valeurs sont comprises dans le même intervalle que celles rapportées chez l'adulte aux doses thérapeutiques. D'après l'analyse de pharmacocinétique de population d'enfants atteints de diverses infections, la demi-vie prédictive moyenne chez l'enfant est d'environ 4 à 5 heures et la biodisponibilité de la suspension buvable est comprise entre 50 et 80 %.</w:t>
      </w:r>
    </w:p>
    <w:p w:rsidR="00990D4D" w:rsidRPr="00990D4D" w:rsidRDefault="00990D4D" w:rsidP="00990D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990D4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  <w:t>Read more at http://www.vidal.fr/Medicament/ciflox-3829.htm#zkKc86Mj4D2LtUfz.99</w:t>
      </w:r>
    </w:p>
    <w:p w:rsidR="00DE34F8" w:rsidRPr="00990D4D" w:rsidRDefault="00DE34F8">
      <w:pPr>
        <w:rPr>
          <w:lang w:val="en-US"/>
        </w:rPr>
      </w:pPr>
    </w:p>
    <w:sectPr w:rsidR="00DE34F8" w:rsidRPr="00990D4D" w:rsidSect="00DE34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990D4D"/>
    <w:rsid w:val="0006330F"/>
    <w:rsid w:val="0009769E"/>
    <w:rsid w:val="000C4178"/>
    <w:rsid w:val="00120A2B"/>
    <w:rsid w:val="001A53D5"/>
    <w:rsid w:val="00282113"/>
    <w:rsid w:val="003164DC"/>
    <w:rsid w:val="004276C2"/>
    <w:rsid w:val="00436373"/>
    <w:rsid w:val="004771A7"/>
    <w:rsid w:val="00587FAE"/>
    <w:rsid w:val="0062264F"/>
    <w:rsid w:val="00673C6F"/>
    <w:rsid w:val="006A4DC8"/>
    <w:rsid w:val="0078077B"/>
    <w:rsid w:val="007A24F8"/>
    <w:rsid w:val="007E4829"/>
    <w:rsid w:val="00816CD7"/>
    <w:rsid w:val="008F30B2"/>
    <w:rsid w:val="00911C5C"/>
    <w:rsid w:val="00990D4D"/>
    <w:rsid w:val="009D77C6"/>
    <w:rsid w:val="00A93A8E"/>
    <w:rsid w:val="00B53AA5"/>
    <w:rsid w:val="00BB2DA5"/>
    <w:rsid w:val="00C22AEF"/>
    <w:rsid w:val="00C75EA1"/>
    <w:rsid w:val="00D914B1"/>
    <w:rsid w:val="00DE34F8"/>
    <w:rsid w:val="00E651C1"/>
    <w:rsid w:val="00EB4024"/>
    <w:rsid w:val="00EE1C81"/>
    <w:rsid w:val="00F147E9"/>
    <w:rsid w:val="00F271B2"/>
    <w:rsid w:val="00F5756F"/>
    <w:rsid w:val="00F65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4F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90D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53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63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6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13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26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88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67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680</Words>
  <Characters>3740</Characters>
  <Application>Microsoft Office Word</Application>
  <DocSecurity>0</DocSecurity>
  <Lines>31</Lines>
  <Paragraphs>8</Paragraphs>
  <ScaleCrop>false</ScaleCrop>
  <Company/>
  <LinksUpToDate>false</LinksUpToDate>
  <CharactersWithSpaces>4412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DUVAAL</dc:creator>
  <cp:keywords/>
  <dc:description/>
  <cp:lastModifiedBy>DUVAAL</cp:lastModifiedBy>
  <cp:revision>1</cp:revision>
  <dcterms:created xsi:type="dcterms:W3CDTF">2014-06-13T09:25:00Z</dcterms:created>
  <dcterms:modified xsi:type="dcterms:W3CDTF">2014-06-13T09:26:00Z</dcterms:modified>
</cp:coreProperties>
</file>